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tblpPr w:leftFromText="180" w:rightFromText="180" w:vertAnchor="page" w:horzAnchor="page" w:tblpX="1543" w:tblpY="2763"/>
        <w:tblOverlap w:val="never"/>
        <w:tblW w:w="14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3184"/>
        <w:gridCol w:w="2833"/>
        <w:gridCol w:w="7160"/>
      </w:tblGrid>
      <w:tr>
        <w:trPr>
          <w:trHeight w:hRule="exact" w:val="7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ascii="Times New Roman" w:eastAsia="方正仿宋_GBK" w:cs="Times New Roman" w:hAnsi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产业技术研究院名称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依托单位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共建单位</w:t>
            </w:r>
          </w:p>
        </w:tc>
      </w:tr>
      <w:tr>
        <w:trPr>
          <w:trHeight w:hRule="exact" w:val="7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巴中市芦笋产业技术研究院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巴中市惠丰农业开发有限公司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四川省农业科学院经济作物育种栽培研究所、巴中市科技特派员创新创业联合会、四川恒沃优选供应链有限责任公司</w:t>
            </w:r>
          </w:p>
        </w:tc>
      </w:tr>
      <w:tr>
        <w:trPr>
          <w:trHeight w:hRule="exact" w:val="7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巴中市魔芋产业技术研究院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巴中市天果农业科技有限公司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西华大学食品与生物工程学院</w:t>
            </w: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、四川胡婆婆食品有限责任公司、四川工大西南食品研究有限公司</w:t>
            </w:r>
          </w:p>
        </w:tc>
      </w:tr>
      <w:tr>
        <w:trPr>
          <w:trHeight w:hRule="exact" w:val="7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巴中市南江金银花产业技术研究院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南江县金银花产业发展中心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四川南江农业旅游发展集团有限公司、南江县九龙农牧科技实业开发有限公司、四川民深农业开发有限公司</w:t>
            </w:r>
          </w:p>
        </w:tc>
      </w:tr>
      <w:tr>
        <w:trPr>
          <w:trHeight w:hRule="exact" w:val="7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巴中市南江大叶茶产业技术研究院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南江县茶叶产业发展中心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四川省元顶子茶场、四川金枝玉叶茶叶有限公司</w:t>
            </w: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、四川仟米山上农业开发有限公司</w:t>
            </w:r>
          </w:p>
        </w:tc>
      </w:tr>
      <w:tr>
        <w:trPr>
          <w:trHeight w:hRule="exact" w:val="7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巴中市馨金山茶叶产业技术研究院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通江县文峰金山茶业有限责任公司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四川农业大学、通江县茶叶产业发展中心、通江县新金山茶叶种植专业合作社</w:t>
            </w:r>
          </w:p>
        </w:tc>
      </w:tr>
      <w:tr>
        <w:trPr>
          <w:trHeight w:hRule="exact" w:val="715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巴中市巴河水产产业技术研究院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通江县光泰科技发展有限责任公司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通江县红碑河水产养殖专业合作社、通江县大鲵繁养协会、通江县名优产品流通协会</w:t>
            </w:r>
          </w:p>
        </w:tc>
      </w:tr>
      <w:tr>
        <w:trPr>
          <w:trHeight w:hRule="exact" w:val="793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巴中市大巴山生态酿酒产业技术研究院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四川远鸿小角楼酒业有限公司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四川省食品发酵工业研究设计院有限公司、四川西成小角楼产业投资有限公司、四川小角楼生态农业发展有限公司</w:t>
            </w:r>
          </w:p>
        </w:tc>
      </w:tr>
      <w:tr>
        <w:trPr>
          <w:trHeight w:hRule="exact" w:val="802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巴中威二郎果露酒产业技术研究院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巴中市生谷堂健康科技有限公司</w:t>
            </w:r>
          </w:p>
        </w:tc>
        <w:tc>
          <w:tcPr>
            <w:tcW w:w="7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ascii="Times New Roman" w:eastAsia="方正仿宋_GBK" w:cs="Times New Roman" w:hAnsi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ascii="Times New Roman" w:eastAsia="方正仿宋_GBK" w:cs="Times New Roman" w:hAnsi="Times New Roman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四川省法拉尔食品科技有限公司、西华大学、平昌县翰林酒业有限公司</w:t>
            </w:r>
          </w:p>
        </w:tc>
      </w:tr>
    </w:tbl>
    <w:p>
      <w:pPr>
        <w:jc w:val="center"/>
        <w:rPr>
          <w:rFonts w:ascii="方正小标宋_GBK" w:eastAsia="方正小标宋_GBK" w:cs="方正小标宋_GBK" w:hint="eastAsia"/>
          <w:i w:val="0"/>
          <w:color w:val="000000"/>
          <w:kern w:val="0"/>
          <w:sz w:val="36"/>
          <w:szCs w:val="36"/>
          <w:u w:val="none"/>
          <w:lang w:val="en-US" w:eastAsia="zh-CN" w:bidi="ar-SA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-589280</wp:posOffset>
                </wp:positionV>
                <wp:extent cx="867410" cy="533400"/>
                <wp:effectExtent l="0" t="0" r="0" b="0"/>
                <wp:wrapNone/>
                <wp:docPr id="1" name="矩形 2"/>
                <wp:cNvGraphicFramePr>
                  <a:graphicFrameLocks noChangeAspect="0"/>
                </wp:cNvGraphicFramePr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67410" cy="533400"/>
                        </a:xfrm>
                        <a:prstGeom prst="rect"/>
                        <a:solidFill>
                          <a:srgbClr val="FFFFFF"/>
                        </a:solidFill>
                        <a:ln w="9525" cmpd="sng" cap="flat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 id="2">
                        <w:txbxContent>
                          <w:p>
                            <w:pPr>
                              <w:rPr>
                                <w:rFonts w:ascii="方正黑体_GBK" w:eastAsia="方正黑体_GBK" w:cs="方正黑体_GBK" w:hint="eastAsia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ascii="方正黑体_GBK" w:eastAsia="方正黑体_GBK" w:cs="方正黑体_GBK" w:hint="eastAsia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ascii="方正黑体_GBK" w:eastAsia="方正黑体_GBK" w:cs="方正黑体_GBK" w:hint="eastAsia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type="#_x0000_t1" id="矩形 2" o:spid="_x0000_s3" fillcolor="#FFFFFF" stroked="t" style="position:absolute;margin-left:-5.05pt;margin-top:-46.4pt;width:68.3pt;height:42.0pt;z-index:12;mso-position-horizontal:absolute;mso-position-vertical:absolute;mso-wrap-style:square;">
                <v:stroke color="#FFFFFF"/>
                <v:textbox id="848" inset="2.54mm,1.27mm,2.54mm,1.27mm" o:insetmode="custom" style="layout-flow:horizontal;v-text-anchor:top;">
                  <w:txbxContent>
                    <w:p>
                      <w:pPr>
                        <w:rPr>
                          <w:rFonts w:ascii="方正黑体_GBK" w:eastAsia="方正黑体_GBK" w:cs="方正黑体_GBK" w:hint="eastAsia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ascii="方正黑体_GBK" w:eastAsia="方正黑体_GBK" w:cs="方正黑体_GBK" w:hint="eastAsia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ascii="方正黑体_GBK" w:eastAsia="方正黑体_GBK" w:cs="方正黑体_GBK" w:hint="eastAsia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_GBK" w:eastAsia="方正小标宋_GBK" w:cs="方正小标宋_GBK" w:hint="eastAsia"/>
          <w:i w:val="0"/>
          <w:color w:val="000000"/>
          <w:kern w:val="0"/>
          <w:sz w:val="36"/>
          <w:szCs w:val="36"/>
          <w:u w:val="none"/>
          <w:lang w:val="en-US" w:eastAsia="zh-CN" w:bidi="ar-SA"/>
        </w:rPr>
        <w:t>2022年度市级产业技术研究院拟备案名单</w:t>
      </w:r>
    </w:p>
    <w:sectPr>
      <w:pgSz w:w="16838" w:h="11906" w:orient="landscape"/>
      <w:pgMar w:top="1800" w:right="1440" w:bottom="1800" w:left="1440" w:header="851" w:footer="992" w:gutter="0"/>
      <w:pgNumType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7A87" w:usb1="80000000" w:usb2="00000008" w:usb3="00000000" w:csb0="400001FF" w:csb1="FFFF0000"/>
  </w:font>
  <w:font w:name="方正仿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宋体">
    <w:altName w:val="方正书宋_GBK"/>
    <w:panose1 w:val="00000000000000000000"/>
    <w:charset w:val="86"/>
    <w:family w:val="auto"/>
    <w:pitch w:val="variable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variable"/>
    <w:sig w:usb0="00000000" w:usb1="00000000" w:usb2="00000001" w:usb3="00000000" w:csb0="0000019F" w:csb1="00000000"/>
  </w:font>
  <w:font w:name="黑体">
    <w:altName w:val="方正黑体_GBK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efaultTabStop w:val="420"/>
  <w:drawingGridHorizontalSpacing w:val="18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useAltKinsokuLineBreakRules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14093943</TotalTime>
  <Application>Yozo_Office27021597764231179</Application>
  <Pages>1</Pages>
  <Words>593</Words>
  <Characters>596</Characters>
  <Lines>59</Lines>
  <Paragraphs>37</Paragraphs>
  <CharactersWithSpaces>596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2022-12-21T06:24:00Z</cp:lastPrinted>
  <dcterms:created xsi:type="dcterms:W3CDTF">2014-10-30T04:08:00Z</dcterms:created>
  <dcterms:modified xsi:type="dcterms:W3CDTF">2022-12-21T08:30:43Z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2052-11.8.2.1114</vt:lpwstr>
  </property>
</Properties>
</file>